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8026"/>
      </w:tblGrid>
      <w:tr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609600" cy="6096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26"/>
            <w:tcBorders>
              <w:top w:val="none" w:color="FFFFFF" w:sz="0"/>
              <w:left w:val="none" w:color="FFFFFF" w:sz="0"/>
              <w:bottom w:val="single" w:color="1A4A8A" w:sz="6" w:space="6"/>
              <w:right w:val="none" w:color="FFFFFF" w:sz="0"/>
            </w:tcBorders>
            <w:tcMar>
              <w:lef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4A8A"/>
                <w:sz w:val="52"/>
                <w:szCs w:val="52"/>
              </w:rPr>
              <w:t xml:space="preserve">GIFO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Gabinete de Investigação Forense de Ocorrências</w:t>
            </w:r>
          </w:p>
        </w:tc>
      </w:tr>
    </w:tbl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/>
      </w:r>
    </w:p>
    <w:p>
      <w:pPr>
        <w:spacing w:after="40" w:before="100"/>
        <w:jc w:val="center"/>
      </w:pP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ACORDO DE CONFIDENCIALIDADE E SIGILO PROFISSIONAL</w:t>
      </w:r>
    </w:p>
    <w:p>
      <w:pPr>
        <w:spacing w:after="200" w:before="0"/>
        <w:jc w:val="center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Ref.: GIFO-NDA-01  ·  24 de Junho de 2026  ·  Porto, Portugal</w:t>
      </w:r>
    </w:p>
    <w:p>
      <w:pPr>
        <w:pBdr>
          <w:top w:val="single" w:color="CC8800" w:sz="4"/>
          <w:bottom w:val="single" w:color="CC8800" w:sz="4"/>
          <w:left w:val="single" w:color="CC8800" w:sz="4"/>
          <w:right w:val="single" w:color="CC8800" w:sz="4"/>
        </w:pBdr>
        <w:spacing w:after="180" w:before="80"/>
        <w:jc w:val="center"/>
      </w:pPr>
      <w:r>
        <w:rPr>
          <w:rFonts w:ascii="Arial" w:cs="Arial" w:eastAsia="Arial" w:hAnsi="Arial"/>
          <w:b/>
          <w:bCs/>
          <w:color w:val="7A5000"/>
          <w:sz w:val="18"/>
          <w:szCs w:val="18"/>
        </w:rPr>
        <w:t xml:space="preserve">DOCUMENTO CONFIDENCIAL — Uso exclusivo das partes signatárias</w:t>
      </w:r>
    </w:p>
    <w:p>
      <w:pPr>
        <w:pBdr>
          <w:bottom w:val="single" w:color="1A4A8A" w:sz="4" w:space="6"/>
        </w:pBdr>
        <w:spacing w:after="100" w:before="280"/>
      </w:pPr>
      <w:r>
        <w:rPr>
          <w:rFonts w:ascii="Arial" w:cs="Arial" w:eastAsia="Arial" w:hAnsi="Arial"/>
          <w:b/>
          <w:bCs/>
          <w:color w:val="1A4A8A"/>
          <w:sz w:val="26"/>
          <w:szCs w:val="26"/>
        </w:rPr>
        <w:t xml:space="preserve">1. Partes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6326"/>
      </w:tblGrid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0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4A8A"/>
                <w:sz w:val="20"/>
                <w:szCs w:val="20"/>
              </w:rPr>
              <w:t xml:space="preserve">Parte Divulgante</w:t>
            </w:r>
          </w:p>
        </w:tc>
        <w:tc>
          <w:tcPr>
            <w:tcW w:type="dxa" w:w="6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Andre Cruz Maio, responsável pelo GIFO — Gabinete de Investigação Forense de Ocorrências, Porto, Portugal. Email: geral@gifo.pt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0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4A8A"/>
                <w:sz w:val="20"/>
                <w:szCs w:val="20"/>
              </w:rPr>
              <w:t xml:space="preserve">Parte Receptora</w:t>
            </w:r>
          </w:p>
        </w:tc>
        <w:tc>
          <w:tcPr>
            <w:tcW w:type="dxa" w:w="6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[Nome completo], portador do Documento de Identificação n.º [___], residente em [Morada completa]. Email: [___].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0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4A8A"/>
                <w:sz w:val="20"/>
                <w:szCs w:val="20"/>
              </w:rPr>
              <w:t xml:space="preserve">Objeto</w:t>
            </w:r>
          </w:p>
        </w:tc>
        <w:tc>
          <w:tcPr>
            <w:tcW w:type="dxa" w:w="6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Informação partilhada no âmbito da colaboração voluntária com o GIFO na área de [descrever área].</w:t>
            </w:r>
          </w:p>
        </w:tc>
      </w:tr>
    </w:tbl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/>
      </w:r>
    </w:p>
    <w:p>
      <w:pPr>
        <w:pBdr>
          <w:bottom w:val="single" w:color="1A4A8A" w:sz="4" w:space="6"/>
        </w:pBdr>
        <w:spacing w:after="100" w:before="280"/>
      </w:pPr>
      <w:r>
        <w:rPr>
          <w:rFonts w:ascii="Arial" w:cs="Arial" w:eastAsia="Arial" w:hAnsi="Arial"/>
          <w:b/>
          <w:bCs/>
          <w:color w:val="1A4A8A"/>
          <w:sz w:val="26"/>
          <w:szCs w:val="26"/>
        </w:rPr>
        <w:t xml:space="preserve">2. Definição de Informação Confidencial</w:t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>Considera-se “Informação Confidencial” toda a informação, dado, documento ou conhecimento partilhado pelo GIFO, incluindo:</w:t>
      </w:r>
    </w:p>
    <w:p>
      <w:pPr>
        <w:pStyle w:val="ListParagraph"/>
        <w:numPr>
          <w:ilvl w:val="0"/>
          <w:numId w:val="2"/>
        </w:numPr>
        <w:spacing w:after="55" w:before="55" w:line="300"/>
      </w:pPr>
      <w:r>
        <w:rPr>
          <w:rFonts w:ascii="Arial" w:cs="Arial" w:eastAsia="Arial" w:hAnsi="Arial"/>
          <w:color w:val="555555"/>
          <w:sz w:val="21"/>
          <w:szCs w:val="21"/>
        </w:rPr>
        <w:t xml:space="preserve">Identidade, dados pessoais e relatos de testemunhas e informadores;</w:t>
      </w:r>
    </w:p>
    <w:p>
      <w:pPr>
        <w:pStyle w:val="ListParagraph"/>
        <w:numPr>
          <w:ilvl w:val="0"/>
          <w:numId w:val="2"/>
        </w:numPr>
        <w:spacing w:after="55" w:before="55" w:line="300"/>
      </w:pPr>
      <w:r>
        <w:rPr>
          <w:rFonts w:ascii="Arial" w:cs="Arial" w:eastAsia="Arial" w:hAnsi="Arial"/>
          <w:color w:val="555555"/>
          <w:sz w:val="21"/>
          <w:szCs w:val="21"/>
        </w:rPr>
        <w:t xml:space="preserve">Metodologias, protocolos e técnicas de investigação forense do GIFO;</w:t>
      </w:r>
    </w:p>
    <w:p>
      <w:pPr>
        <w:pStyle w:val="ListParagraph"/>
        <w:numPr>
          <w:ilvl w:val="0"/>
          <w:numId w:val="2"/>
        </w:numPr>
        <w:spacing w:after="55" w:before="55" w:line="300"/>
      </w:pPr>
      <w:r>
        <w:rPr>
          <w:rFonts w:ascii="Arial" w:cs="Arial" w:eastAsia="Arial" w:hAnsi="Arial"/>
          <w:color w:val="555555"/>
          <w:sz w:val="21"/>
          <w:szCs w:val="21"/>
        </w:rPr>
        <w:t xml:space="preserve">Casos em investigação, evidências recolhidas e conclusões preliminares;</w:t>
      </w:r>
    </w:p>
    <w:p>
      <w:pPr>
        <w:pStyle w:val="ListParagraph"/>
        <w:numPr>
          <w:ilvl w:val="0"/>
          <w:numId w:val="2"/>
        </w:numPr>
        <w:spacing w:after="55" w:before="55" w:line="300"/>
      </w:pPr>
      <w:r>
        <w:rPr>
          <w:rFonts w:ascii="Arial" w:cs="Arial" w:eastAsia="Arial" w:hAnsi="Arial"/>
          <w:color w:val="555555"/>
          <w:sz w:val="21"/>
          <w:szCs w:val="21"/>
        </w:rPr>
        <w:t xml:space="preserve">Dados pessoais de colaboradores, parceiros e contactos institucionais;</w:t>
      </w:r>
    </w:p>
    <w:p>
      <w:pPr>
        <w:pStyle w:val="ListParagraph"/>
        <w:numPr>
          <w:ilvl w:val="0"/>
          <w:numId w:val="2"/>
        </w:numPr>
        <w:spacing w:after="55" w:before="55" w:line="300"/>
      </w:pPr>
      <w:r>
        <w:rPr>
          <w:rFonts w:ascii="Arial" w:cs="Arial" w:eastAsia="Arial" w:hAnsi="Arial"/>
          <w:color w:val="555555"/>
          <w:sz w:val="21"/>
          <w:szCs w:val="21"/>
        </w:rPr>
        <w:t xml:space="preserve">Comunicações internas, documentos estratégicos e planos de desenvolvimento;</w:t>
      </w:r>
    </w:p>
    <w:p>
      <w:pPr>
        <w:pStyle w:val="ListParagraph"/>
        <w:numPr>
          <w:ilvl w:val="0"/>
          <w:numId w:val="2"/>
        </w:numPr>
        <w:spacing w:after="55" w:before="55" w:line="300"/>
      </w:pPr>
      <w:r>
        <w:rPr>
          <w:rFonts w:ascii="Arial" w:cs="Arial" w:eastAsia="Arial" w:hAnsi="Arial"/>
          <w:color w:val="555555"/>
          <w:sz w:val="21"/>
          <w:szCs w:val="21"/>
        </w:rPr>
        <w:t xml:space="preserve">Qualquer informação que, pela sua natureza, deva ser tratada como confidencial.</w:t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/>
      </w:r>
    </w:p>
    <w:p>
      <w:pPr>
        <w:pBdr>
          <w:bottom w:val="single" w:color="1A4A8A" w:sz="4" w:space="6"/>
        </w:pBdr>
        <w:spacing w:after="100" w:before="280"/>
      </w:pPr>
      <w:r>
        <w:rPr>
          <w:rFonts w:ascii="Arial" w:cs="Arial" w:eastAsia="Arial" w:hAnsi="Arial"/>
          <w:b/>
          <w:bCs/>
          <w:color w:val="1A4A8A"/>
          <w:sz w:val="26"/>
          <w:szCs w:val="26"/>
        </w:rPr>
        <w:t xml:space="preserve">3. Obrigações da Parte Receptora</w:t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>A Parte Receptora obriga-se a:</w:t>
      </w:r>
    </w:p>
    <w:p>
      <w:pPr>
        <w:pStyle w:val="ListParagraph"/>
        <w:numPr>
          <w:ilvl w:val="0"/>
          <w:numId w:val="2"/>
        </w:numPr>
        <w:spacing w:after="55" w:before="55" w:line="300"/>
      </w:pPr>
      <w:r>
        <w:rPr>
          <w:rFonts w:ascii="Arial" w:cs="Arial" w:eastAsia="Arial" w:hAnsi="Arial"/>
          <w:color w:val="555555"/>
          <w:sz w:val="21"/>
          <w:szCs w:val="21"/>
        </w:rPr>
        <w:t xml:space="preserve">Manter absoluta confidencialidade sobre toda a Informação Confidencial recebida;</w:t>
      </w:r>
    </w:p>
    <w:p>
      <w:pPr>
        <w:pStyle w:val="ListParagraph"/>
        <w:numPr>
          <w:ilvl w:val="0"/>
          <w:numId w:val="2"/>
        </w:numPr>
        <w:spacing w:after="55" w:before="55" w:line="300"/>
      </w:pPr>
      <w:r>
        <w:rPr>
          <w:rFonts w:ascii="Arial" w:cs="Arial" w:eastAsia="Arial" w:hAnsi="Arial"/>
          <w:color w:val="555555"/>
          <w:sz w:val="21"/>
          <w:szCs w:val="21"/>
        </w:rPr>
        <w:t xml:space="preserve">Não divulgar, publicar ou transmitir a Informação Confidencial sem autorização escrita do GIFO;</w:t>
      </w:r>
    </w:p>
    <w:p>
      <w:pPr>
        <w:pStyle w:val="ListParagraph"/>
        <w:numPr>
          <w:ilvl w:val="0"/>
          <w:numId w:val="2"/>
        </w:numPr>
        <w:spacing w:after="55" w:before="55" w:line="300"/>
      </w:pPr>
      <w:r>
        <w:rPr>
          <w:rFonts w:ascii="Arial" w:cs="Arial" w:eastAsia="Arial" w:hAnsi="Arial"/>
          <w:color w:val="555555"/>
          <w:sz w:val="21"/>
          <w:szCs w:val="21"/>
        </w:rPr>
        <w:t xml:space="preserve">Utilizar a Informação Confidencial exclusivamente para os fins da colaboração com o GIFO;</w:t>
      </w:r>
    </w:p>
    <w:p>
      <w:pPr>
        <w:pStyle w:val="ListParagraph"/>
        <w:numPr>
          <w:ilvl w:val="0"/>
          <w:numId w:val="2"/>
        </w:numPr>
        <w:spacing w:after="55" w:before="55" w:line="300"/>
      </w:pPr>
      <w:r>
        <w:rPr>
          <w:rFonts w:ascii="Arial" w:cs="Arial" w:eastAsia="Arial" w:hAnsi="Arial"/>
          <w:color w:val="555555"/>
          <w:sz w:val="21"/>
          <w:szCs w:val="21"/>
        </w:rPr>
        <w:t xml:space="preserve">Adotar medidas de segurança adequadas para proteger a Informação Confidencial;</w:t>
      </w:r>
    </w:p>
    <w:p>
      <w:pPr>
        <w:pStyle w:val="ListParagraph"/>
        <w:numPr>
          <w:ilvl w:val="0"/>
          <w:numId w:val="2"/>
        </w:numPr>
        <w:spacing w:after="55" w:before="55" w:line="300"/>
      </w:pPr>
      <w:r>
        <w:rPr>
          <w:rFonts w:ascii="Arial" w:cs="Arial" w:eastAsia="Arial" w:hAnsi="Arial"/>
          <w:color w:val="555555"/>
          <w:sz w:val="21"/>
          <w:szCs w:val="21"/>
        </w:rPr>
        <w:t xml:space="preserve">Notificar imediatamente o GIFO em caso de divulgação acidental ou suspeita de acesso não autorizado;</w:t>
      </w:r>
    </w:p>
    <w:p>
      <w:pPr>
        <w:pStyle w:val="ListParagraph"/>
        <w:numPr>
          <w:ilvl w:val="0"/>
          <w:numId w:val="2"/>
        </w:numPr>
        <w:spacing w:after="55" w:before="55" w:line="300"/>
      </w:pPr>
      <w:r>
        <w:rPr>
          <w:rFonts w:ascii="Arial" w:cs="Arial" w:eastAsia="Arial" w:hAnsi="Arial"/>
          <w:color w:val="555555"/>
          <w:sz w:val="21"/>
          <w:szCs w:val="21"/>
        </w:rPr>
        <w:t xml:space="preserve">Devolver ou destruir toda a Informação Confidencial mediante cessação da colaboração ou pedido do GIFO.</w:t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/>
      </w:r>
    </w:p>
    <w:p>
      <w:pPr>
        <w:pBdr>
          <w:bottom w:val="single" w:color="1A4A8A" w:sz="4" w:space="6"/>
        </w:pBdr>
        <w:spacing w:after="100" w:before="280"/>
      </w:pPr>
      <w:r>
        <w:rPr>
          <w:rFonts w:ascii="Arial" w:cs="Arial" w:eastAsia="Arial" w:hAnsi="Arial"/>
          <w:b/>
          <w:bCs/>
          <w:color w:val="1A4A8A"/>
          <w:sz w:val="26"/>
          <w:szCs w:val="26"/>
        </w:rPr>
        <w:t xml:space="preserve">4. Exceções</w:t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>As obrigações de confidencialidade não se aplicam a informação que:</w:t>
      </w:r>
    </w:p>
    <w:p>
      <w:pPr>
        <w:pStyle w:val="ListParagraph"/>
        <w:numPr>
          <w:ilvl w:val="0"/>
          <w:numId w:val="2"/>
        </w:numPr>
        <w:spacing w:after="55" w:before="55" w:line="300"/>
      </w:pPr>
      <w:r>
        <w:rPr>
          <w:rFonts w:ascii="Arial" w:cs="Arial" w:eastAsia="Arial" w:hAnsi="Arial"/>
          <w:color w:val="555555"/>
          <w:sz w:val="21"/>
          <w:szCs w:val="21"/>
        </w:rPr>
        <w:t xml:space="preserve">Seja ou se torne de domínio público por meios legítimos, sem violação deste acordo;</w:t>
      </w:r>
    </w:p>
    <w:p>
      <w:pPr>
        <w:pStyle w:val="ListParagraph"/>
        <w:numPr>
          <w:ilvl w:val="0"/>
          <w:numId w:val="2"/>
        </w:numPr>
        <w:spacing w:after="55" w:before="55" w:line="300"/>
      </w:pPr>
      <w:r>
        <w:rPr>
          <w:rFonts w:ascii="Arial" w:cs="Arial" w:eastAsia="Arial" w:hAnsi="Arial"/>
          <w:color w:val="555555"/>
          <w:sz w:val="21"/>
          <w:szCs w:val="21"/>
        </w:rPr>
        <w:t xml:space="preserve">Fosse já de conhecimento comprovatável da Parte Receptora antes da sua divulgação;</w:t>
      </w:r>
    </w:p>
    <w:p>
      <w:pPr>
        <w:pStyle w:val="ListParagraph"/>
        <w:numPr>
          <w:ilvl w:val="0"/>
          <w:numId w:val="2"/>
        </w:numPr>
        <w:spacing w:after="55" w:before="55" w:line="300"/>
      </w:pPr>
      <w:r>
        <w:rPr>
          <w:rFonts w:ascii="Arial" w:cs="Arial" w:eastAsia="Arial" w:hAnsi="Arial"/>
          <w:color w:val="555555"/>
          <w:sz w:val="21"/>
          <w:szCs w:val="21"/>
        </w:rPr>
        <w:t xml:space="preserve">Seja divulgada com consentimento expresso e escrito da Parte Divulgante;</w:t>
      </w:r>
    </w:p>
    <w:p>
      <w:pPr>
        <w:pStyle w:val="ListParagraph"/>
        <w:numPr>
          <w:ilvl w:val="0"/>
          <w:numId w:val="2"/>
        </w:numPr>
        <w:spacing w:after="55" w:before="55" w:line="300"/>
      </w:pPr>
      <w:r>
        <w:rPr>
          <w:rFonts w:ascii="Arial" w:cs="Arial" w:eastAsia="Arial" w:hAnsi="Arial"/>
          <w:color w:val="555555"/>
          <w:sz w:val="21"/>
          <w:szCs w:val="21"/>
        </w:rPr>
        <w:t xml:space="preserve">Seja legalmente exigida por autoridade competente — neste caso, com notificação prévia ao GIFO.</w:t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/>
      </w:r>
    </w:p>
    <w:p>
      <w:pPr>
        <w:pBdr>
          <w:bottom w:val="single" w:color="1A4A8A" w:sz="4" w:space="6"/>
        </w:pBdr>
        <w:spacing w:after="100" w:before="280"/>
      </w:pPr>
      <w:r>
        <w:rPr>
          <w:rFonts w:ascii="Arial" w:cs="Arial" w:eastAsia="Arial" w:hAnsi="Arial"/>
          <w:b/>
          <w:bCs/>
          <w:color w:val="1A4A8A"/>
          <w:sz w:val="26"/>
          <w:szCs w:val="26"/>
        </w:rPr>
        <w:t xml:space="preserve">5. Proteção de Dados Pessoais — RGPD</w:t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>O tratamento de dados pessoais é regido pelo RGPD (Regulamento UE 2016/679) e pela Lei n.º 58/2019. A Parte Receptora trata apenas os dados estritamente necessários para a colaboração.</w:t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/>
      </w:r>
    </w:p>
    <w:p>
      <w:pPr>
        <w:pBdr>
          <w:bottom w:val="single" w:color="1A4A8A" w:sz="4" w:space="6"/>
        </w:pBdr>
        <w:spacing w:after="100" w:before="280"/>
      </w:pPr>
      <w:r>
        <w:rPr>
          <w:rFonts w:ascii="Arial" w:cs="Arial" w:eastAsia="Arial" w:hAnsi="Arial"/>
          <w:b/>
          <w:bCs/>
          <w:color w:val="1A4A8A"/>
          <w:sz w:val="26"/>
          <w:szCs w:val="26"/>
        </w:rPr>
        <w:t xml:space="preserve">6. Vigencia</w:t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>O acordo mantém-se durante o período de colaboração e por três (3) anos após a sua cessação, independentemente do motivo.</w:t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/>
      </w:r>
    </w:p>
    <w:p>
      <w:pPr>
        <w:pBdr>
          <w:bottom w:val="single" w:color="1A4A8A" w:sz="4" w:space="6"/>
        </w:pBdr>
        <w:spacing w:after="100" w:before="280"/>
      </w:pPr>
      <w:r>
        <w:rPr>
          <w:rFonts w:ascii="Arial" w:cs="Arial" w:eastAsia="Arial" w:hAnsi="Arial"/>
          <w:b/>
          <w:bCs/>
          <w:color w:val="1A4A8A"/>
          <w:sz w:val="26"/>
          <w:szCs w:val="26"/>
        </w:rPr>
        <w:t xml:space="preserve">7. Consequências do Incumprimento</w:t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>O incumprimento gera responsabilidade civil pelos danos causados, nos termos do Código Civil Português e da legislação de proteção de dados pessoais aplicável.</w:t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/>
      </w:r>
    </w:p>
    <w:p>
      <w:pPr>
        <w:pBdr>
          <w:bottom w:val="single" w:color="1A4A8A" w:sz="4" w:space="6"/>
        </w:pBdr>
        <w:spacing w:after="100" w:before="280"/>
      </w:pPr>
      <w:r>
        <w:rPr>
          <w:rFonts w:ascii="Arial" w:cs="Arial" w:eastAsia="Arial" w:hAnsi="Arial"/>
          <w:b/>
          <w:bCs/>
          <w:color w:val="1A4A8A"/>
          <w:sz w:val="26"/>
          <w:szCs w:val="26"/>
        </w:rPr>
        <w:t xml:space="preserve">8. Lei Aplicável e Foro</w:t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>O acordo é regido pela lei portuguesa. As partes elegem o Tribunal Judicial da Comarca do Porto para resolução de litígios.</w:t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/>
      </w:r>
    </w:p>
    <w:p>
      <w:pPr>
        <w:pBdr>
          <w:bottom w:val="single" w:color="1A4A8A" w:sz="4" w:space="6"/>
        </w:pBdr>
        <w:spacing w:after="100" w:before="280"/>
      </w:pPr>
      <w:r>
        <w:rPr>
          <w:rFonts w:ascii="Arial" w:cs="Arial" w:eastAsia="Arial" w:hAnsi="Arial"/>
          <w:b/>
          <w:bCs/>
          <w:color w:val="1A4A8A"/>
          <w:sz w:val="26"/>
          <w:szCs w:val="26"/>
        </w:rPr>
        <w:t xml:space="preserve">9. Assinaturas</w:t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>As partes declaram ter lido, compreendido e aceite o presente acordo, assinando-o em duplicado, ficando cada parte com um exemplar original.</w:t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/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13"/>
        <w:gridCol w:w="400"/>
        <w:gridCol w:w="4313"/>
      </w:tblGrid>
      <w:tr>
        <w:tc>
          <w:tcPr>
            <w:tcW w:type="dxa" w:w="43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top w:val="single" w:color="333333" w:sz="4"/>
              </w:pBdr>
              <w:spacing w:before="560"/>
            </w:pPr>
            <w:r>
              <w:rPr>
                <w:rFonts w:ascii="Arial" w:cs="Arial" w:eastAsia="Arial" w:hAnsi="Arial"/>
                <w:color w:val="555555"/>
                <w:sz w:val="18"/>
                <w:szCs w:val="18"/>
              </w:rPr>
              <w:t xml:space="preserve">Colaborador — Data e Assinatura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80" w:before="80" w:line="3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2"/>
                <w:szCs w:val="22"/>
              </w:rPr>
              <w:t xml:space="preserve"/>
            </w:r>
          </w:p>
        </w:tc>
        <w:tc>
          <w:tcPr>
            <w:tcW w:type="dxa" w:w="43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top w:val="single" w:color="333333" w:sz="4"/>
              </w:pBdr>
              <w:spacing w:before="560"/>
            </w:pPr>
            <w:r>
              <w:rPr>
                <w:rFonts w:ascii="Arial" w:cs="Arial" w:eastAsia="Arial" w:hAnsi="Arial"/>
                <w:color w:val="555555"/>
                <w:sz w:val="18"/>
                <w:szCs w:val="18"/>
              </w:rPr>
              <w:t xml:space="preserve">André Cruz Maio — GIFO</w:t>
            </w:r>
          </w:p>
        </w:tc>
      </w:tr>
    </w:tbl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/>
      </w:r>
    </w:p>
    <w:p>
      <w:pPr>
        <w:spacing w:after="80" w:before="80" w:line="3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2"/>
          <w:szCs w:val="22"/>
        </w:rPr>
        <w:t xml:space="preserve"/>
      </w:r>
    </w:p>
    <w:p>
      <w:pPr>
        <w:pBdr>
          <w:top w:val="single" w:color="CCCCCC" w:sz="2"/>
        </w:pBdr>
        <w:spacing w:before="200"/>
        <w:jc w:val="center"/>
      </w:pPr>
      <w:r>
        <w:rPr>
          <w:rFonts w:ascii="Arial" w:cs="Arial" w:eastAsia="Arial" w:hAnsi="Arial"/>
          <w:color w:val="AAAAAA"/>
          <w:sz w:val="16"/>
          <w:szCs w:val="16"/>
        </w:rPr>
        <w:t xml:space="preserve">geral@gifo.pt  ·  gifo.pt  ·  Porto, Portugal</w:t>
      </w:r>
    </w:p>
    <w:sectPr>
      <w:pgSz w:w="11906" w:h="16838" w:orient="portrait"/>
      <w:pgMar w:top="1080" w:right="1080" w:bottom="108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80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bdc06d7b09fbda886216ae8f3bc0b80d1057325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2026-06-24T09:27:42.383Z</dcterms:created>
  <dcterms:modified xsi:type="dcterms:W3CDTF">2026-06-24T09:27:42.384Z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